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202" w:rsidRDefault="00844202" w:rsidP="007A4D45">
      <w:pPr>
        <w:spacing w:after="0"/>
      </w:pPr>
    </w:p>
    <w:tbl>
      <w:tblPr>
        <w:tblStyle w:val="TableGrid"/>
        <w:tblW w:w="0" w:type="auto"/>
        <w:tblLook w:val="04A0" w:firstRow="1" w:lastRow="0" w:firstColumn="1" w:lastColumn="0" w:noHBand="0" w:noVBand="1"/>
      </w:tblPr>
      <w:tblGrid>
        <w:gridCol w:w="10790"/>
      </w:tblGrid>
      <w:tr w:rsidR="00844202" w:rsidTr="00844202">
        <w:tc>
          <w:tcPr>
            <w:tcW w:w="10790" w:type="dxa"/>
            <w:shd w:val="clear" w:color="auto" w:fill="000000" w:themeFill="text1"/>
          </w:tcPr>
          <w:p w:rsidR="00844202" w:rsidRPr="007A4D45" w:rsidRDefault="00844202" w:rsidP="00844202">
            <w:pPr>
              <w:jc w:val="center"/>
              <w:rPr>
                <w:b/>
                <w:sz w:val="28"/>
                <w:szCs w:val="28"/>
              </w:rPr>
            </w:pPr>
            <w:r>
              <w:rPr>
                <w:b/>
                <w:color w:val="FFFFFF" w:themeColor="background1"/>
                <w:sz w:val="28"/>
                <w:szCs w:val="28"/>
              </w:rPr>
              <w:t>General Guidelines</w:t>
            </w:r>
            <w:r w:rsidR="00620211">
              <w:rPr>
                <w:b/>
                <w:color w:val="FFFFFF" w:themeColor="background1"/>
                <w:sz w:val="28"/>
                <w:szCs w:val="28"/>
              </w:rPr>
              <w:t xml:space="preserve"> for Advertisements </w:t>
            </w:r>
          </w:p>
        </w:tc>
      </w:tr>
      <w:tr w:rsidR="00844202" w:rsidTr="00844202">
        <w:tc>
          <w:tcPr>
            <w:tcW w:w="10790" w:type="dxa"/>
          </w:tcPr>
          <w:p w:rsidR="00844202" w:rsidRPr="00844202" w:rsidRDefault="00844202" w:rsidP="00844202">
            <w:pPr>
              <w:pStyle w:val="ListParagraph"/>
              <w:numPr>
                <w:ilvl w:val="0"/>
                <w:numId w:val="2"/>
              </w:numPr>
              <w:rPr>
                <w:sz w:val="24"/>
                <w:szCs w:val="24"/>
              </w:rPr>
            </w:pPr>
            <w:r w:rsidRPr="00844202">
              <w:rPr>
                <w:sz w:val="24"/>
                <w:szCs w:val="24"/>
              </w:rPr>
              <w:t>WSSDA strictly limits advertising to commercial advertising, defined as advertisements that do no more than propose a commercial transaction, that are of interest to WSSDA members.</w:t>
            </w:r>
          </w:p>
          <w:p w:rsidR="00844202" w:rsidRPr="00844202" w:rsidRDefault="00844202" w:rsidP="00844202">
            <w:pPr>
              <w:pStyle w:val="ListParagraph"/>
              <w:numPr>
                <w:ilvl w:val="0"/>
                <w:numId w:val="2"/>
              </w:numPr>
              <w:rPr>
                <w:sz w:val="24"/>
                <w:szCs w:val="24"/>
              </w:rPr>
            </w:pPr>
            <w:r w:rsidRPr="00844202">
              <w:rPr>
                <w:sz w:val="24"/>
                <w:szCs w:val="24"/>
              </w:rPr>
              <w:t>WSSDA will not accept advertisements that could be viewed as offensive, inappropriate, harmful to public education, or divert resources from public education.</w:t>
            </w:r>
          </w:p>
          <w:p w:rsidR="00844202" w:rsidRPr="00844202" w:rsidRDefault="00844202" w:rsidP="00844202">
            <w:pPr>
              <w:pStyle w:val="ListParagraph"/>
              <w:numPr>
                <w:ilvl w:val="0"/>
                <w:numId w:val="2"/>
              </w:numPr>
              <w:rPr>
                <w:sz w:val="24"/>
                <w:szCs w:val="24"/>
              </w:rPr>
            </w:pPr>
            <w:r w:rsidRPr="00844202">
              <w:rPr>
                <w:sz w:val="24"/>
                <w:szCs w:val="24"/>
              </w:rPr>
              <w:t>WSSDA does not endorse the products or services being advertised.</w:t>
            </w:r>
          </w:p>
          <w:p w:rsidR="00844202" w:rsidRPr="00844202" w:rsidRDefault="00844202" w:rsidP="00844202">
            <w:pPr>
              <w:pStyle w:val="ListParagraph"/>
              <w:numPr>
                <w:ilvl w:val="0"/>
                <w:numId w:val="2"/>
              </w:numPr>
              <w:rPr>
                <w:sz w:val="24"/>
                <w:szCs w:val="24"/>
              </w:rPr>
            </w:pPr>
            <w:r w:rsidRPr="00844202">
              <w:rPr>
                <w:sz w:val="24"/>
                <w:szCs w:val="24"/>
              </w:rPr>
              <w:t>The number of advertisements that any one entity may purchase is limited to one per issue of WSSDA Direct.</w:t>
            </w:r>
          </w:p>
          <w:p w:rsidR="00844202" w:rsidRDefault="00844202" w:rsidP="007A4D45">
            <w:pPr>
              <w:pStyle w:val="ListParagraph"/>
              <w:numPr>
                <w:ilvl w:val="0"/>
                <w:numId w:val="2"/>
              </w:numPr>
            </w:pPr>
            <w:r w:rsidRPr="00844202">
              <w:rPr>
                <w:sz w:val="24"/>
                <w:szCs w:val="24"/>
              </w:rPr>
              <w:t>WSSDA reserves the right to determine the location of each advertisement within each issue.</w:t>
            </w:r>
          </w:p>
        </w:tc>
      </w:tr>
    </w:tbl>
    <w:p w:rsidR="000134C6" w:rsidRPr="00844202" w:rsidRDefault="000134C6" w:rsidP="007A4D45">
      <w:pPr>
        <w:spacing w:after="0"/>
        <w:rPr>
          <w:sz w:val="32"/>
          <w:szCs w:val="32"/>
        </w:rPr>
      </w:pPr>
    </w:p>
    <w:tbl>
      <w:tblPr>
        <w:tblStyle w:val="TableGrid"/>
        <w:tblW w:w="10795" w:type="dxa"/>
        <w:tblLook w:val="04A0" w:firstRow="1" w:lastRow="0" w:firstColumn="1" w:lastColumn="0" w:noHBand="0" w:noVBand="1"/>
      </w:tblPr>
      <w:tblGrid>
        <w:gridCol w:w="10795"/>
      </w:tblGrid>
      <w:tr w:rsidR="007A4D45" w:rsidTr="007717E5">
        <w:tc>
          <w:tcPr>
            <w:tcW w:w="10795" w:type="dxa"/>
            <w:shd w:val="clear" w:color="auto" w:fill="000000" w:themeFill="text1"/>
          </w:tcPr>
          <w:p w:rsidR="007A4D45" w:rsidRPr="007A4D45" w:rsidRDefault="007A4D45" w:rsidP="007A4D45">
            <w:pPr>
              <w:jc w:val="center"/>
              <w:rPr>
                <w:b/>
                <w:sz w:val="28"/>
                <w:szCs w:val="28"/>
              </w:rPr>
            </w:pPr>
            <w:r w:rsidRPr="007A4D45">
              <w:rPr>
                <w:b/>
                <w:color w:val="FFFFFF" w:themeColor="background1"/>
                <w:sz w:val="28"/>
                <w:szCs w:val="28"/>
              </w:rPr>
              <w:t>Limitations on Advertisements</w:t>
            </w:r>
          </w:p>
        </w:tc>
      </w:tr>
      <w:tr w:rsidR="00907CC5" w:rsidTr="007717E5">
        <w:tc>
          <w:tcPr>
            <w:tcW w:w="10795" w:type="dxa"/>
            <w:shd w:val="clear" w:color="auto" w:fill="F2F2F2" w:themeFill="background1" w:themeFillShade="F2"/>
          </w:tcPr>
          <w:p w:rsidR="00907CC5" w:rsidRPr="00907CC5" w:rsidRDefault="00907CC5" w:rsidP="007A4D45">
            <w:pPr>
              <w:pStyle w:val="NormalWeb"/>
              <w:rPr>
                <w:rFonts w:asciiTheme="minorHAnsi" w:hAnsiTheme="minorHAnsi"/>
                <w:b/>
                <w:sz w:val="24"/>
                <w:szCs w:val="24"/>
              </w:rPr>
            </w:pPr>
            <w:r w:rsidRPr="00907CC5">
              <w:rPr>
                <w:rFonts w:asciiTheme="minorHAnsi" w:hAnsiTheme="minorHAnsi"/>
                <w:b/>
                <w:sz w:val="24"/>
                <w:szCs w:val="24"/>
              </w:rPr>
              <w:t>WSSDA will not accept advertisements that could create substantial controversy, noting that clashes of opinion are inconsistent with sound commercial practice. WSSDA therefore prohibits advertisements that include the following characteristics or pertain to the following subject matter areas:</w:t>
            </w:r>
          </w:p>
          <w:p w:rsidR="00907CC5" w:rsidRPr="00907CC5" w:rsidRDefault="00907CC5" w:rsidP="007A4D45">
            <w:pPr>
              <w:pStyle w:val="NormalWeb"/>
              <w:rPr>
                <w:sz w:val="12"/>
                <w:szCs w:val="12"/>
              </w:rPr>
            </w:pPr>
            <w:r w:rsidRPr="00907CC5">
              <w:rPr>
                <w:sz w:val="12"/>
                <w:szCs w:val="12"/>
              </w:rPr>
              <w:t> </w:t>
            </w:r>
          </w:p>
          <w:p w:rsidR="00907CC5" w:rsidRPr="00907CC5" w:rsidRDefault="00907CC5" w:rsidP="007A4D45">
            <w:pPr>
              <w:numPr>
                <w:ilvl w:val="0"/>
                <w:numId w:val="1"/>
              </w:numPr>
              <w:rPr>
                <w:sz w:val="20"/>
                <w:szCs w:val="20"/>
              </w:rPr>
            </w:pPr>
            <w:r w:rsidRPr="00907CC5">
              <w:rPr>
                <w:sz w:val="20"/>
                <w:szCs w:val="20"/>
              </w:rPr>
              <w:t>Adult/mature rated films, television, video games, or other products rated by their industry as only suitable for mature audiences;</w:t>
            </w:r>
          </w:p>
          <w:p w:rsidR="00907CC5" w:rsidRPr="00907CC5" w:rsidRDefault="00907CC5" w:rsidP="007A4D45">
            <w:pPr>
              <w:numPr>
                <w:ilvl w:val="0"/>
                <w:numId w:val="1"/>
              </w:numPr>
              <w:rPr>
                <w:sz w:val="20"/>
                <w:szCs w:val="20"/>
              </w:rPr>
            </w:pPr>
            <w:r w:rsidRPr="00907CC5">
              <w:rPr>
                <w:sz w:val="20"/>
                <w:szCs w:val="20"/>
              </w:rPr>
              <w:t>Alcohol, cannabis, e-cigarette, tobacco, or vaping products;</w:t>
            </w:r>
          </w:p>
          <w:p w:rsidR="00907CC5" w:rsidRPr="00907CC5" w:rsidRDefault="00907CC5" w:rsidP="007A4D45">
            <w:pPr>
              <w:numPr>
                <w:ilvl w:val="0"/>
                <w:numId w:val="1"/>
              </w:numPr>
              <w:rPr>
                <w:sz w:val="20"/>
                <w:szCs w:val="20"/>
              </w:rPr>
            </w:pPr>
            <w:r w:rsidRPr="00907CC5">
              <w:rPr>
                <w:sz w:val="20"/>
                <w:szCs w:val="20"/>
              </w:rPr>
              <w:t xml:space="preserve">Discriminatory material directed at a person or group, who is protected under federal or state law;   </w:t>
            </w:r>
          </w:p>
          <w:p w:rsidR="00907CC5" w:rsidRPr="00907CC5" w:rsidRDefault="00907CC5" w:rsidP="007A4D45">
            <w:pPr>
              <w:numPr>
                <w:ilvl w:val="0"/>
                <w:numId w:val="1"/>
              </w:numPr>
              <w:rPr>
                <w:sz w:val="20"/>
                <w:szCs w:val="20"/>
              </w:rPr>
            </w:pPr>
            <w:r w:rsidRPr="00907CC5">
              <w:rPr>
                <w:sz w:val="20"/>
                <w:szCs w:val="20"/>
              </w:rPr>
              <w:t xml:space="preserve">Disruptive or harmful to public education subject matter; </w:t>
            </w:r>
          </w:p>
          <w:p w:rsidR="00907CC5" w:rsidRPr="00907CC5" w:rsidRDefault="00907CC5" w:rsidP="007A4D45">
            <w:pPr>
              <w:numPr>
                <w:ilvl w:val="0"/>
                <w:numId w:val="1"/>
              </w:numPr>
              <w:rPr>
                <w:sz w:val="20"/>
                <w:szCs w:val="20"/>
              </w:rPr>
            </w:pPr>
            <w:r w:rsidRPr="00907CC5">
              <w:rPr>
                <w:sz w:val="20"/>
                <w:szCs w:val="20"/>
              </w:rPr>
              <w:t>False, deceptive, or misleading material, or material that would constitute a tort of defamation or invasion of privacy;</w:t>
            </w:r>
            <w:bookmarkStart w:id="0" w:name="_GoBack"/>
            <w:bookmarkEnd w:id="0"/>
          </w:p>
          <w:p w:rsidR="00907CC5" w:rsidRPr="00907CC5" w:rsidRDefault="00907CC5" w:rsidP="007A4D45">
            <w:pPr>
              <w:numPr>
                <w:ilvl w:val="0"/>
                <w:numId w:val="1"/>
              </w:numPr>
              <w:rPr>
                <w:sz w:val="20"/>
                <w:szCs w:val="20"/>
              </w:rPr>
            </w:pPr>
            <w:r w:rsidRPr="00907CC5">
              <w:rPr>
                <w:sz w:val="20"/>
                <w:szCs w:val="20"/>
              </w:rPr>
              <w:t xml:space="preserve">Illegal activity, including promotion of an activity or product that is illegal under local, state, or federal law; </w:t>
            </w:r>
          </w:p>
          <w:p w:rsidR="00907CC5" w:rsidRPr="00907CC5" w:rsidRDefault="00907CC5" w:rsidP="007A4D45">
            <w:pPr>
              <w:numPr>
                <w:ilvl w:val="0"/>
                <w:numId w:val="1"/>
              </w:numPr>
              <w:rPr>
                <w:sz w:val="20"/>
                <w:szCs w:val="20"/>
              </w:rPr>
            </w:pPr>
            <w:r w:rsidRPr="00907CC5">
              <w:rPr>
                <w:sz w:val="20"/>
                <w:szCs w:val="20"/>
              </w:rPr>
              <w:t>Indecent, obscene, profane, or violent subject matter;</w:t>
            </w:r>
          </w:p>
          <w:p w:rsidR="00907CC5" w:rsidRPr="00907CC5" w:rsidRDefault="00907CC5" w:rsidP="007A4D45">
            <w:pPr>
              <w:numPr>
                <w:ilvl w:val="0"/>
                <w:numId w:val="1"/>
              </w:numPr>
              <w:rPr>
                <w:sz w:val="20"/>
                <w:szCs w:val="20"/>
              </w:rPr>
            </w:pPr>
            <w:r w:rsidRPr="00907CC5">
              <w:rPr>
                <w:sz w:val="20"/>
                <w:szCs w:val="20"/>
              </w:rPr>
              <w:t xml:space="preserve">Infringement on copyright, trademark, or other intellectual property laws; </w:t>
            </w:r>
          </w:p>
          <w:p w:rsidR="00907CC5" w:rsidRPr="00907CC5" w:rsidRDefault="00907CC5" w:rsidP="007A4D45">
            <w:pPr>
              <w:numPr>
                <w:ilvl w:val="0"/>
                <w:numId w:val="1"/>
              </w:numPr>
              <w:rPr>
                <w:sz w:val="20"/>
                <w:szCs w:val="20"/>
              </w:rPr>
            </w:pPr>
            <w:r w:rsidRPr="00907CC5">
              <w:rPr>
                <w:sz w:val="20"/>
                <w:szCs w:val="20"/>
              </w:rPr>
              <w:t>Issue-oriented advertisements;</w:t>
            </w:r>
          </w:p>
          <w:p w:rsidR="00907CC5" w:rsidRPr="00907CC5" w:rsidRDefault="00907CC5" w:rsidP="007A4D45">
            <w:pPr>
              <w:numPr>
                <w:ilvl w:val="0"/>
                <w:numId w:val="1"/>
              </w:numPr>
              <w:rPr>
                <w:sz w:val="20"/>
                <w:szCs w:val="20"/>
              </w:rPr>
            </w:pPr>
            <w:r w:rsidRPr="00907CC5">
              <w:rPr>
                <w:sz w:val="20"/>
                <w:szCs w:val="20"/>
              </w:rPr>
              <w:t>Pharmaceutical subject matter;</w:t>
            </w:r>
          </w:p>
          <w:p w:rsidR="00907CC5" w:rsidRPr="00907CC5" w:rsidRDefault="00907CC5" w:rsidP="007A4D45">
            <w:pPr>
              <w:numPr>
                <w:ilvl w:val="0"/>
                <w:numId w:val="1"/>
              </w:numPr>
              <w:rPr>
                <w:sz w:val="20"/>
                <w:szCs w:val="20"/>
              </w:rPr>
            </w:pPr>
            <w:r w:rsidRPr="00907CC5">
              <w:rPr>
                <w:sz w:val="20"/>
                <w:szCs w:val="20"/>
              </w:rPr>
              <w:t xml:space="preserve">Political advertising, defined as advertising promoting or opposing: a candidate; a group of candidates; a political party; an initiative; a referendum; or other ballot measure, regardless of whether at the federal, state, or local level, and including school boards; </w:t>
            </w:r>
          </w:p>
          <w:p w:rsidR="00907CC5" w:rsidRPr="00907CC5" w:rsidRDefault="00907CC5" w:rsidP="007A4D45">
            <w:pPr>
              <w:numPr>
                <w:ilvl w:val="0"/>
                <w:numId w:val="1"/>
              </w:numPr>
              <w:rPr>
                <w:sz w:val="20"/>
                <w:szCs w:val="20"/>
              </w:rPr>
            </w:pPr>
            <w:r w:rsidRPr="00907CC5">
              <w:rPr>
                <w:sz w:val="20"/>
                <w:szCs w:val="20"/>
              </w:rPr>
              <w:t>Religious subject matter;</w:t>
            </w:r>
          </w:p>
          <w:p w:rsidR="00907CC5" w:rsidRPr="00907CC5" w:rsidRDefault="00907CC5" w:rsidP="007A4D45">
            <w:pPr>
              <w:numPr>
                <w:ilvl w:val="0"/>
                <w:numId w:val="1"/>
              </w:numPr>
              <w:rPr>
                <w:sz w:val="20"/>
                <w:szCs w:val="20"/>
              </w:rPr>
            </w:pPr>
            <w:r w:rsidRPr="00907CC5">
              <w:rPr>
                <w:sz w:val="20"/>
                <w:szCs w:val="20"/>
              </w:rPr>
              <w:t>Sexual subject matter that is objectionable under contemporary community standards;</w:t>
            </w:r>
          </w:p>
          <w:p w:rsidR="00907CC5" w:rsidRPr="00907CC5" w:rsidRDefault="00907CC5" w:rsidP="007A4D45">
            <w:pPr>
              <w:numPr>
                <w:ilvl w:val="0"/>
                <w:numId w:val="1"/>
              </w:numPr>
              <w:rPr>
                <w:sz w:val="24"/>
                <w:szCs w:val="24"/>
              </w:rPr>
            </w:pPr>
            <w:r w:rsidRPr="00907CC5">
              <w:rPr>
                <w:sz w:val="20"/>
                <w:szCs w:val="20"/>
              </w:rPr>
              <w:t>Weapons, including all firearms, and including ads promoting or soliciting the sale, rental, distribution, or availability of any weapon or related products.</w:t>
            </w:r>
          </w:p>
          <w:p w:rsidR="00907CC5" w:rsidRPr="00907CC5" w:rsidRDefault="00907CC5" w:rsidP="007A4D45">
            <w:pPr>
              <w:rPr>
                <w:sz w:val="12"/>
                <w:szCs w:val="12"/>
              </w:rPr>
            </w:pPr>
          </w:p>
          <w:p w:rsidR="00907CC5" w:rsidRPr="00907CC5" w:rsidRDefault="00907CC5" w:rsidP="007A4D45">
            <w:pPr>
              <w:rPr>
                <w:b/>
              </w:rPr>
            </w:pPr>
            <w:r w:rsidRPr="00907CC5">
              <w:rPr>
                <w:b/>
                <w:sz w:val="24"/>
                <w:szCs w:val="24"/>
              </w:rPr>
              <w:t xml:space="preserve">WSSDA’s Executive Director or designee has authority to accept or refuse requests to advertise in its publications in compliance with WSSDA Operating Policy 5400. </w:t>
            </w:r>
          </w:p>
        </w:tc>
      </w:tr>
    </w:tbl>
    <w:p w:rsidR="000134C6" w:rsidRPr="00844202" w:rsidRDefault="000134C6" w:rsidP="007A4D45">
      <w:pPr>
        <w:spacing w:after="0"/>
        <w:rPr>
          <w:sz w:val="32"/>
          <w:szCs w:val="32"/>
        </w:rPr>
      </w:pPr>
    </w:p>
    <w:tbl>
      <w:tblPr>
        <w:tblStyle w:val="TableGrid"/>
        <w:tblW w:w="0" w:type="auto"/>
        <w:tblLook w:val="04A0" w:firstRow="1" w:lastRow="0" w:firstColumn="1" w:lastColumn="0" w:noHBand="0" w:noVBand="1"/>
      </w:tblPr>
      <w:tblGrid>
        <w:gridCol w:w="10790"/>
      </w:tblGrid>
      <w:tr w:rsidR="00844202" w:rsidTr="00AF12E5">
        <w:tc>
          <w:tcPr>
            <w:tcW w:w="10790" w:type="dxa"/>
            <w:shd w:val="clear" w:color="auto" w:fill="000000" w:themeFill="text1"/>
          </w:tcPr>
          <w:p w:rsidR="00844202" w:rsidRPr="007A4D45" w:rsidRDefault="00620211" w:rsidP="00AF12E5">
            <w:pPr>
              <w:jc w:val="center"/>
              <w:rPr>
                <w:b/>
                <w:sz w:val="28"/>
                <w:szCs w:val="28"/>
              </w:rPr>
            </w:pPr>
            <w:r>
              <w:rPr>
                <w:b/>
                <w:color w:val="FFFFFF" w:themeColor="background1"/>
                <w:sz w:val="28"/>
                <w:szCs w:val="28"/>
              </w:rPr>
              <w:t>Advertisement</w:t>
            </w:r>
            <w:r w:rsidR="00844202">
              <w:rPr>
                <w:b/>
                <w:color w:val="FFFFFF" w:themeColor="background1"/>
                <w:sz w:val="28"/>
                <w:szCs w:val="28"/>
              </w:rPr>
              <w:t xml:space="preserve"> Availability</w:t>
            </w:r>
          </w:p>
        </w:tc>
      </w:tr>
      <w:tr w:rsidR="00844202" w:rsidTr="00AF12E5">
        <w:tc>
          <w:tcPr>
            <w:tcW w:w="10790" w:type="dxa"/>
          </w:tcPr>
          <w:p w:rsidR="00844202" w:rsidRPr="00844202" w:rsidRDefault="00844202" w:rsidP="00844202">
            <w:pPr>
              <w:pStyle w:val="ListParagraph"/>
              <w:numPr>
                <w:ilvl w:val="0"/>
                <w:numId w:val="2"/>
              </w:numPr>
              <w:rPr>
                <w:sz w:val="24"/>
                <w:szCs w:val="24"/>
              </w:rPr>
            </w:pPr>
            <w:r w:rsidRPr="00844202">
              <w:rPr>
                <w:sz w:val="24"/>
                <w:szCs w:val="24"/>
              </w:rPr>
              <w:t>Advertising space will be available on a first come basis</w:t>
            </w:r>
          </w:p>
          <w:p w:rsidR="00844202" w:rsidRDefault="00844202" w:rsidP="00844202">
            <w:pPr>
              <w:pStyle w:val="ListParagraph"/>
              <w:numPr>
                <w:ilvl w:val="0"/>
                <w:numId w:val="2"/>
              </w:numPr>
            </w:pPr>
            <w:r w:rsidRPr="00844202">
              <w:rPr>
                <w:sz w:val="24"/>
                <w:szCs w:val="24"/>
              </w:rPr>
              <w:t>The window for purchasing advertising space for the 2020 issues of WSSDA Direct will open on December 1, 2019 and will remain open until all advertising space is sold.  At that point, interested entities will be placed on a waiting list and contacted in the event that additional advertising space is available.</w:t>
            </w:r>
          </w:p>
        </w:tc>
      </w:tr>
    </w:tbl>
    <w:p w:rsidR="000134C6" w:rsidRDefault="000134C6" w:rsidP="007A4D45">
      <w:pPr>
        <w:spacing w:after="0"/>
      </w:pPr>
    </w:p>
    <w:sectPr w:rsidR="000134C6" w:rsidSect="0084420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13DF" w:rsidRDefault="003C13DF" w:rsidP="00844202">
      <w:pPr>
        <w:spacing w:after="0" w:line="240" w:lineRule="auto"/>
      </w:pPr>
      <w:r>
        <w:separator/>
      </w:r>
    </w:p>
  </w:endnote>
  <w:endnote w:type="continuationSeparator" w:id="0">
    <w:p w:rsidR="003C13DF" w:rsidRDefault="003C13DF" w:rsidP="00844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02" w:rsidRPr="00D94C88" w:rsidRDefault="00D94C88" w:rsidP="00844202">
    <w:pPr>
      <w:pStyle w:val="Footer"/>
      <w:jc w:val="center"/>
      <w:rPr>
        <w:rStyle w:val="Hyperlink"/>
        <w:color w:val="auto"/>
        <w:u w:val="none"/>
      </w:rPr>
    </w:pPr>
    <w:r>
      <w:t>To reserve or inquire</w:t>
    </w:r>
    <w:r w:rsidR="00844202">
      <w:t xml:space="preserve"> </w:t>
    </w:r>
    <w:r>
      <w:t xml:space="preserve">about available advertising space please </w:t>
    </w:r>
    <w:r w:rsidR="00844202">
      <w:t xml:space="preserve">contact Josh Collette at </w:t>
    </w:r>
    <w:hyperlink r:id="rId1" w:history="1">
      <w:r w:rsidR="00844202" w:rsidRPr="00B12C1B">
        <w:rPr>
          <w:rStyle w:val="Hyperlink"/>
        </w:rPr>
        <w:t>j.collette@wssda.org</w:t>
      </w:r>
    </w:hyperlink>
  </w:p>
  <w:p w:rsidR="00D94C88" w:rsidRPr="00D94C88" w:rsidRDefault="00D94C88" w:rsidP="00844202">
    <w:pPr>
      <w:pStyle w:val="Footer"/>
      <w:jc w:val="center"/>
    </w:pPr>
    <w:r w:rsidRPr="00D94C88">
      <w:rPr>
        <w:rStyle w:val="Hyperlink"/>
        <w:color w:val="auto"/>
        <w:u w:val="none"/>
      </w:rPr>
      <w:t xml:space="preserve">For </w:t>
    </w:r>
    <w:r>
      <w:rPr>
        <w:rStyle w:val="Hyperlink"/>
        <w:color w:val="auto"/>
        <w:u w:val="none"/>
      </w:rPr>
      <w:t xml:space="preserve">more information on advertising specifications please contact Abigail Twombly at </w:t>
    </w:r>
    <w:hyperlink r:id="rId2" w:history="1">
      <w:r w:rsidRPr="00D22AEB">
        <w:rPr>
          <w:rStyle w:val="Hyperlink"/>
        </w:rPr>
        <w:t>a.twombly@wssda.org</w:t>
      </w:r>
    </w:hyperlink>
    <w:r>
      <w:rPr>
        <w:rStyle w:val="Hyperlink"/>
        <w:color w:val="auto"/>
        <w:u w:val="none"/>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13DF" w:rsidRDefault="003C13DF" w:rsidP="00844202">
      <w:pPr>
        <w:spacing w:after="0" w:line="240" w:lineRule="auto"/>
      </w:pPr>
      <w:r>
        <w:separator/>
      </w:r>
    </w:p>
  </w:footnote>
  <w:footnote w:type="continuationSeparator" w:id="0">
    <w:p w:rsidR="003C13DF" w:rsidRDefault="003C13DF" w:rsidP="0084420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202" w:rsidRPr="00844202" w:rsidRDefault="00844202">
    <w:pPr>
      <w:pStyle w:val="Header"/>
      <w:rPr>
        <w:b/>
        <w:sz w:val="32"/>
        <w:szCs w:val="32"/>
      </w:rPr>
    </w:pPr>
    <w:r>
      <w:rPr>
        <w:noProof/>
      </w:rPr>
      <w:drawing>
        <wp:inline distT="0" distB="0" distL="0" distR="0">
          <wp:extent cx="778099" cy="55245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SSDA_colorWeb.jpg"/>
                  <pic:cNvPicPr/>
                </pic:nvPicPr>
                <pic:blipFill>
                  <a:blip r:embed="rId1">
                    <a:extLst>
                      <a:ext uri="{28A0092B-C50C-407E-A947-70E740481C1C}">
                        <a14:useLocalDpi xmlns:a14="http://schemas.microsoft.com/office/drawing/2010/main" val="0"/>
                      </a:ext>
                    </a:extLst>
                  </a:blip>
                  <a:stretch>
                    <a:fillRect/>
                  </a:stretch>
                </pic:blipFill>
                <pic:spPr>
                  <a:xfrm>
                    <a:off x="0" y="0"/>
                    <a:ext cx="785559" cy="557747"/>
                  </a:xfrm>
                  <a:prstGeom prst="rect">
                    <a:avLst/>
                  </a:prstGeom>
                </pic:spPr>
              </pic:pic>
            </a:graphicData>
          </a:graphic>
        </wp:inline>
      </w:drawing>
    </w:r>
    <w:r>
      <w:rPr>
        <w:sz w:val="36"/>
        <w:szCs w:val="36"/>
      </w:rPr>
      <w:t xml:space="preserve">         </w:t>
    </w:r>
    <w:r w:rsidRPr="00844202">
      <w:rPr>
        <w:b/>
        <w:sz w:val="32"/>
        <w:szCs w:val="32"/>
      </w:rPr>
      <w:t>Guidelines and Limitations for Advertising in WSSDA Direct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065F"/>
    <w:multiLevelType w:val="hybridMultilevel"/>
    <w:tmpl w:val="4EC4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DE76A8"/>
    <w:multiLevelType w:val="multilevel"/>
    <w:tmpl w:val="A1223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04D3625"/>
    <w:multiLevelType w:val="hybridMultilevel"/>
    <w:tmpl w:val="BE24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4C6"/>
    <w:rsid w:val="000134C6"/>
    <w:rsid w:val="0006227E"/>
    <w:rsid w:val="001A7C60"/>
    <w:rsid w:val="003C13DF"/>
    <w:rsid w:val="005428C0"/>
    <w:rsid w:val="00620211"/>
    <w:rsid w:val="007717E5"/>
    <w:rsid w:val="007A4D45"/>
    <w:rsid w:val="00844202"/>
    <w:rsid w:val="00907CC5"/>
    <w:rsid w:val="00BC52DC"/>
    <w:rsid w:val="00D94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4C6"/>
    <w:rPr>
      <w:color w:val="0563C1" w:themeColor="hyperlink"/>
      <w:u w:val="single"/>
    </w:rPr>
  </w:style>
  <w:style w:type="character" w:styleId="FollowedHyperlink">
    <w:name w:val="FollowedHyperlink"/>
    <w:basedOn w:val="DefaultParagraphFont"/>
    <w:uiPriority w:val="99"/>
    <w:semiHidden/>
    <w:unhideWhenUsed/>
    <w:rsid w:val="000134C6"/>
    <w:rPr>
      <w:color w:val="954F72" w:themeColor="followedHyperlink"/>
      <w:u w:val="single"/>
    </w:rPr>
  </w:style>
  <w:style w:type="paragraph" w:styleId="NormalWeb">
    <w:name w:val="Normal (Web)"/>
    <w:uiPriority w:val="99"/>
    <w:unhideWhenUsed/>
    <w:rsid w:val="00BC52DC"/>
    <w:pPr>
      <w:spacing w:after="0" w:line="240" w:lineRule="auto"/>
    </w:pPr>
    <w:rPr>
      <w:rFonts w:ascii="Verdana" w:eastAsia="Verdana" w:hAnsi="Verdana" w:cs="Times New Roman"/>
      <w:sz w:val="20"/>
    </w:rPr>
  </w:style>
  <w:style w:type="table" w:styleId="TableGrid">
    <w:name w:val="Table Grid"/>
    <w:basedOn w:val="TableNormal"/>
    <w:uiPriority w:val="39"/>
    <w:rsid w:val="00907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4D45"/>
    <w:pPr>
      <w:ind w:left="720"/>
      <w:contextualSpacing/>
    </w:pPr>
  </w:style>
  <w:style w:type="paragraph" w:styleId="Header">
    <w:name w:val="header"/>
    <w:basedOn w:val="Normal"/>
    <w:link w:val="HeaderChar"/>
    <w:uiPriority w:val="99"/>
    <w:unhideWhenUsed/>
    <w:rsid w:val="00844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202"/>
  </w:style>
  <w:style w:type="paragraph" w:styleId="Footer">
    <w:name w:val="footer"/>
    <w:basedOn w:val="Normal"/>
    <w:link w:val="FooterChar"/>
    <w:uiPriority w:val="99"/>
    <w:unhideWhenUsed/>
    <w:rsid w:val="00844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202"/>
  </w:style>
  <w:style w:type="paragraph" w:styleId="BalloonText">
    <w:name w:val="Balloon Text"/>
    <w:basedOn w:val="Normal"/>
    <w:link w:val="BalloonTextChar"/>
    <w:uiPriority w:val="99"/>
    <w:semiHidden/>
    <w:unhideWhenUsed/>
    <w:rsid w:val="001A7C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C60"/>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34C6"/>
    <w:rPr>
      <w:color w:val="0563C1" w:themeColor="hyperlink"/>
      <w:u w:val="single"/>
    </w:rPr>
  </w:style>
  <w:style w:type="character" w:styleId="FollowedHyperlink">
    <w:name w:val="FollowedHyperlink"/>
    <w:basedOn w:val="DefaultParagraphFont"/>
    <w:uiPriority w:val="99"/>
    <w:semiHidden/>
    <w:unhideWhenUsed/>
    <w:rsid w:val="000134C6"/>
    <w:rPr>
      <w:color w:val="954F72" w:themeColor="followedHyperlink"/>
      <w:u w:val="single"/>
    </w:rPr>
  </w:style>
  <w:style w:type="paragraph" w:styleId="NormalWeb">
    <w:name w:val="Normal (Web)"/>
    <w:uiPriority w:val="99"/>
    <w:unhideWhenUsed/>
    <w:rsid w:val="00BC52DC"/>
    <w:pPr>
      <w:spacing w:after="0" w:line="240" w:lineRule="auto"/>
    </w:pPr>
    <w:rPr>
      <w:rFonts w:ascii="Verdana" w:eastAsia="Verdana" w:hAnsi="Verdana" w:cs="Times New Roman"/>
      <w:sz w:val="20"/>
    </w:rPr>
  </w:style>
  <w:style w:type="table" w:styleId="TableGrid">
    <w:name w:val="Table Grid"/>
    <w:basedOn w:val="TableNormal"/>
    <w:uiPriority w:val="39"/>
    <w:rsid w:val="00907C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A4D45"/>
    <w:pPr>
      <w:ind w:left="720"/>
      <w:contextualSpacing/>
    </w:pPr>
  </w:style>
  <w:style w:type="paragraph" w:styleId="Header">
    <w:name w:val="header"/>
    <w:basedOn w:val="Normal"/>
    <w:link w:val="HeaderChar"/>
    <w:uiPriority w:val="99"/>
    <w:unhideWhenUsed/>
    <w:rsid w:val="008442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202"/>
  </w:style>
  <w:style w:type="paragraph" w:styleId="Footer">
    <w:name w:val="footer"/>
    <w:basedOn w:val="Normal"/>
    <w:link w:val="FooterChar"/>
    <w:uiPriority w:val="99"/>
    <w:unhideWhenUsed/>
    <w:rsid w:val="008442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202"/>
  </w:style>
  <w:style w:type="paragraph" w:styleId="BalloonText">
    <w:name w:val="Balloon Text"/>
    <w:basedOn w:val="Normal"/>
    <w:link w:val="BalloonTextChar"/>
    <w:uiPriority w:val="99"/>
    <w:semiHidden/>
    <w:unhideWhenUsed/>
    <w:rsid w:val="001A7C60"/>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1A7C60"/>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mailto:j.collette@wssda.org" TargetMode="External"/><Relationship Id="rId2" Type="http://schemas.openxmlformats.org/officeDocument/2006/relationships/hyperlink" Target="mailto:a.twombly@wssd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427</Words>
  <Characters>2438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WSSDA</Company>
  <LinksUpToDate>false</LinksUpToDate>
  <CharactersWithSpaces>2860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Garchow, Tim (WSSDA)</dc:creator>
  <cp:keywords/>
  <dc:description/>
  <cp:lastModifiedBy>Sean Duke</cp:lastModifiedBy>
  <cp:revision>2</cp:revision>
  <dcterms:created xsi:type="dcterms:W3CDTF">2019-12-24T20:25:00Z</dcterms:created>
  <dcterms:modified xsi:type="dcterms:W3CDTF">2019-12-24T20:25:00Z</dcterms:modified>
</cp:coreProperties>
</file>